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Diretrizes e alternativas para o debate sobre o Marco Regulatório da Inteligência Artificial no Brasil</w:t>
      </w:r>
    </w:p>
    <w:p w:rsidR="00000000" w:rsidDel="00000000" w:rsidP="00000000" w:rsidRDefault="00000000" w:rsidRPr="00000000" w14:paraId="00000002">
      <w:pPr>
        <w:spacing w:after="100" w:lineRule="auto"/>
        <w:jc w:val="center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Impacto regulatório e efetividade do ordenamento jurídico em vigor para a proteção de direitos fundamentais e o desenvolvimento socioeconômico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Senhoras e Senhores Parlamentares,</w:t>
      </w:r>
    </w:p>
    <w:p w:rsidR="00000000" w:rsidDel="00000000" w:rsidP="00000000" w:rsidRDefault="00000000" w:rsidRPr="00000000" w14:paraId="00000005">
      <w:pPr>
        <w:spacing w:after="100" w:lineRule="auto"/>
        <w:ind w:firstLine="72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Apresentamos a Vossas Excelências esta Carta Aberta com sugestões de diretrizes para orientar o debate legislativo sobre a regulação da inteligência artificial (IA) no Brasil. A despeito do grande avanço nos últimos anos, entendemos que o debate sobre um Marco Regulatório para a IA no Brasil </w:t>
      </w: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merece ser ampliado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com alternativas de regulação para a tecnologia que estejam alinhadas com a experiência normativa brasileira, equilibrando a proteção de direitos e garantias fundamentais com o desenvolvimento socioeconômico, a inovação e a  competitividade do país. Os pontos que propomos ao debate são: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120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Abordagem integrativa: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IA é uma tecnologia de propósito geral e seus riscos estão diretamente relacionados aos seus usos. Assim, a depender do propósito para o qual se emprega a tecnologia, o ordenamento jurídico brasileiro já estabelece direitos e deveres específicos. Citamos, por exemplo, o Código Civil, o Código de Defesa do Consumidor, a Lei Geral de Proteção de Dados (LGPD), o Marco Civil da Internet, a Lei do Cadastro Positivo e a própria Constituição Federal (ver anexo único). Há, ainda, a incidência de normas setoriais como é o caso, por exemplo, da regulação de modelos de risco de crédito no setor financeiro ou o uso de softwares como dispositivos médicos na área da saúde, expedidas, respectivamente, pelo CMN e BCB e pela Anvisa. Desta forma, o futuro Marco Regulatório deve levar em conta as experiências normativas acumuladas, reconhecendo e dando deferência a elas, as quais já produzem efeitos concretos sobre o mercado. A abordagem integrativa, a saber, que evolui as normas de IA a partir das legislações e regulações existentes, garante uma visão abrangente e contextualizada para o desenvolvimento de políticas públicas efetivas para a proteção de direitos.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Valorização da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expertise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regulatória brasileira: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é crucial dar suporte jurídico e institucional às experiências dos setores regulados e à atuação dos órgãos reguladores para garantia do uso responsável da IA em seus respectivos domínios. Desta forma, o futuro Marco Regulatório permitirá uma abordagem contextualizada e uma regulação proporcional e equilibrada. Citamos, por exemplo, a Autoridade Nacional de Proteção de Dados (ANPD), o Banco Central do Brasil (BCB),  a Agência Nacional de Vigilância Sanitária (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Anvisa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), a Agência Nacional de Saúde Suplementar (ANS), a Agência Nacional de Telecomunicações (ANATEL), o Conselho Administrativo de Defesa Econômica (CADE), e a Secretaria Nacional do Consumidor (SENACON) que, cada qual dentro de suas respectivas esferas de competência, definem contornos e limites normativos para o uso de tecnologias empregadas no mercado, seja numa perspectiva de proteção de direitos e garantias fundamentais, seja numa perspectiva de garantia de confiabilidade, qualidade e robustez de sistemas tecnológicos. Eventuais lacunas em torno da regulação do uso de IA precisam ser endereçadas a partir de abordagens infralegais, por órgãos técnicos e com participação social, evitando-se obsolescências normativas.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Cooperação regulatória: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a abordagem integrativa ora aqui proposta requer a valorização e o fortalecimento dos  órgãos reguladores existentes, reconhecendo suas competências para a regulação de tecnologias em seus respectivos domínios. Um modelo de órgão central regulador de IA - com atribuições normativas e sancionadoras - pode trazer maior complexidade e burocracia com a consequente fragilização da proteção de direitos. Na medida em que valorizamos os órgãos existentes, demanda-se deles, no entanto, maior cooperação entre si, eis que possuem atribuições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regulatórias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compartilhadas na regulação da IA. Assim, faz-se necessário coordenação para fomentar a cooperação institucional; a promoção da harmonização regulatória para se evitar antinomias e a atuação pela adoção de padrões e boas práticas transversais e para dirimir conflitos de competência. Essa atuação precisa vir também acompanhada de um papel ativo no incentivo à adoção e desenvolvimento e uso de 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Análise de impacto regulatório: 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é prudente esperar por evidências mais substanciais antes de criar um marco regulatório geral e prescritivo para o uso de IA no Brasil. O país enfrenta desafios em várias áreas relacionadas à IA e ocupa a 35ª posição em um ranking global, embora esteja em 16º em outro estudo que considera diferentes fatores. Os riscos incluem dependência de modelos estrangeiros, aumento de desigualdades e fuga de talentos. A prioridade deve ser investir em capacitação de mão de obra e apoiar pequenas e médias empresas, enquanto se reconhece o potencial da IA para resolver problemas históricos do Brasil, combatendo a fome, a corrupção e melhorando a qualidade de serviços públicos. Qualquer nova legislação sobre IA que seja prescritiva e de alcance geral deve ser cuidadosamente debatida para evitar impactos negativos na economia e sociedade.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ind w:firstLine="720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Diante do exposto, convidamos o Congresso Nacional a considerar a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ampliação do debate legislativo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, para levar em conta em suas deliberações: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60" w:lineRule="auto"/>
        <w:ind w:left="1440" w:hanging="360"/>
        <w:jc w:val="both"/>
        <w:rPr>
          <w:rFonts w:ascii="Proxima Nova" w:cs="Proxima Nova" w:eastAsia="Proxima Nova" w:hAnsi="Proxima Nova"/>
          <w:sz w:val="23"/>
          <w:szCs w:val="23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A alternativa de uma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abordagem integrativa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conforme aqui proposta, considerando-a também no âmbito dos PLs  2338/23 e PL 21/20, de modo a valorizar o ordenamento jurídico e fazer prevalecer regras já aplicáveis ao uso de IA, a bem da segurança jurídica;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440" w:right="0" w:hanging="360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Em conjunto com o Poder Executivo,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promover mecanismos para fomentar a cooperação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 entre reguladores que já detêm competência para definir contornos normativos sobre usos de IA. Essa atribuição pode, inclusive, ser exercida por instituições existentes na medida em que elas sejam fortalecidas e capacitadas para tanto;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440" w:right="0" w:hanging="360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O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reconhecimento de espaços multissetoriais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, a exemplo dos grupos de trabalho no âmbito da Estratégia Brasileira de IA, liderada pelo MCTI, para aconselhamento e avaliação de propostas de novas normas a serem integradas nas regulações setoriais pertinentes para endereçar potenciais riscos emergentes decorrentes do uso de IA;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00" w:lineRule="auto"/>
        <w:ind w:left="1440" w:hanging="360"/>
        <w:jc w:val="both"/>
        <w:rPr>
          <w:rFonts w:ascii="Proxima Nova" w:cs="Proxima Nova" w:eastAsia="Proxima Nova" w:hAnsi="Proxima Nova"/>
          <w:sz w:val="23"/>
          <w:szCs w:val="23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A realização de </w:t>
      </w: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análise de impacto regulatório multissetorial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, previamente à votação de quaisquer propostas legislativas gerais e prescritivas sobre IA.</w:t>
      </w:r>
    </w:p>
    <w:p w:rsidR="00000000" w:rsidDel="00000000" w:rsidP="00000000" w:rsidRDefault="00000000" w:rsidRPr="00000000" w14:paraId="0000000F">
      <w:pPr>
        <w:spacing w:after="100" w:lineRule="auto"/>
        <w:ind w:firstLine="720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O Brasil tem, dentro de sua própria experiência normativa, um arcabouço legislativo e institucional robusto e apto a garantir direitos fundamentais. As entidades reunidas em torno desta mensagem reconhecem nessa abordagem integrativa a melhor alternativa para a proteção de garantias fundamentais em equilíbrio com o desenvolvimento socioeconômico nacional e para a continuidade da inovação responsável de IA no Brasil.</w:t>
      </w:r>
    </w:p>
    <w:p w:rsidR="00000000" w:rsidDel="00000000" w:rsidP="00000000" w:rsidRDefault="00000000" w:rsidRPr="00000000" w14:paraId="00000010">
      <w:pPr>
        <w:spacing w:after="100" w:before="400" w:lineRule="auto"/>
        <w:ind w:left="0" w:firstLine="0"/>
        <w:jc w:val="both"/>
        <w:rPr>
          <w:rFonts w:ascii="Proxima Nova" w:cs="Proxima Nova" w:eastAsia="Proxima Nova" w:hAnsi="Proxima Nova"/>
          <w:b w:val="1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3"/>
          <w:szCs w:val="23"/>
          <w:rtl w:val="0"/>
        </w:rPr>
        <w:t xml:space="preserve">Subscritoras: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Abes - Associação Brasileira das Empresas de Software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Aba - Associação Brasileira de Anunciantes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Abfintechs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Associação Brasileira de Fintechs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ABIIS - Aliança Brasileira da Indústria Inovadora em Saúde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Abinee - Associação Brasileira da Indústria Elétrica e Eletrônica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Abimed - Associação Brasileira da Indústria de Tecnologia para Saúde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Abramed - Associação Brasileira de Medicina Diagnóstica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Abramge - Associação Brasileira de Planos de Saúde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Abranet - Associação Brasileira de Internet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Abria - Associação Brasileira de Inteligência Artificial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AB2L - Associação Brasileira de Lawtechs e Legaltechs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ACATE - Associação Catarinense de Tecnologia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ANBC - Associação Nacional dos Bureaus de Crédito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ANUP - Associação Nacional das Universidades Particulares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Assespro - Federação das Associações das Empresas Brasileiras de TI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Câmara-e.net - Câmara Brasileira da Economia Digital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CBEXS - Colégio Brasileiro de Executivos em Saúde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CMB - Confederação das Santas Casas de Misericórdia e Hospitais Filantrópicos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CNDL - Confederação Nacional de Dirigentes Lojistas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Conselho Digital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FecomercioSP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Fenainfo - Federação Nacional das Empresas de Informática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IBDEE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Instituto Brasileiro de Direito e Ética Empresarial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ICOS - Instituto Coalizão Saúde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INDETIPI - Instituto Latino-americano de Desenvolvimento Tecnológico, Inovação e Pesquisa para Inclusão, Diversidade, e Proteção nos Ambientes Digitais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InovaHC - Centro de Inovação do Hospital das Clínicas da Faculdade de Medicina da Universidade de São Paulo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INPD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Instituto Nacional de Proteção de Dados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Interfarma - Associação da Indústria Farmacêutica de Pesquisa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IQG - Instituto Qualisa de Gestão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I2AI -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International Association of Artificial Intelligence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Rule="auto"/>
        <w:ind w:left="45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Lawgorithm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Associação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Lawgorithm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Pesquisa em Inteligência Artificial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MID - Movimento Inovação Digital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Seprorgs - Sindicato das Empresas de Informática do Estado do Rio Grande do Sul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Seprosc - Sindicato das Empresas de Processamento de Dados, Softwares e Serviços Técnicos de Informática do Estado de Santa Catarina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Seprosp - Sindicato das Empresas de Processamento de Dados e Serviços de Informática do Estado de São Paulo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450" w:right="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Zetta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firstLine="72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firstLine="72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ANEXO ÚNICO</w:t>
      </w:r>
    </w:p>
    <w:p w:rsidR="00000000" w:rsidDel="00000000" w:rsidP="00000000" w:rsidRDefault="00000000" w:rsidRPr="00000000" w14:paraId="00000037">
      <w:pPr>
        <w:spacing w:after="400" w:lineRule="auto"/>
        <w:ind w:firstLine="720"/>
        <w:jc w:val="center"/>
        <w:rPr>
          <w:rFonts w:ascii="Proxima Nova" w:cs="Proxima Nova" w:eastAsia="Proxima Nova" w:hAnsi="Proxima Nova"/>
          <w:color w:val="1155cc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1155cc"/>
          <w:sz w:val="28"/>
          <w:szCs w:val="28"/>
          <w:rtl w:val="0"/>
        </w:rPr>
        <w:t xml:space="preserve">A Constituição Federal e o ordenamento jurídico brasileiro estabelecem direitos e endereçam as preocupações sociais com o uso de inteligência artificial</w:t>
      </w: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6045"/>
        <w:tblGridChange w:id="0">
          <w:tblGrid>
            <w:gridCol w:w="3000"/>
            <w:gridCol w:w="60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Constituição Federal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consagra o direito fundamental à proteção de dados pessoais, inclusive em meios digitais (Art. 5º, LXXIX), e outros direitos fundamentais, como igualdade e liberdade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Impossibilidade de uso de IA para discriminação ilícita ou abusiva, inclusive discriminações indiretas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Reconhecimento do direito à autodeterminação informativa das pessoas, com resguardo de seus direitos fundamentais em ambientes digitais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6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Deveres de uso de tecnologias para preservação da autonomia humana e centradas nos direitos humanos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00" w:lineRule="auto"/>
        <w:ind w:firstLine="72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A IA depende de dados e o Brasil conta com leis específicas e robustas sobre tratamento de dados pessoais, tais como a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LGPD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e a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Lei do Cadastro Positivo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A LGPD estabelece deveres de governança e qualidade de dados, assegurando representatividade, atualização e acurácia das informações usadas em sistemas de 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A LGPD prevê, ainda, o princípio da transparência, o direito à revisão de decisões automáticas em casos específicos, o direito das pessoas poderem acessar seus dados e entenderem como são usados e regime de responsabilização civil na cadeia de tratamento de dados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spacing w:after="6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A LCP prevê obrigações de acurácia e requisitos de uso de dados objetivos e claros para fins de proteção ao crédito, controlando o tipo de informações que podem ser inseridas em sistemas de IA em diálogo com outras normas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200" w:lineRule="auto"/>
        <w:ind w:firstLine="72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left"/>
              <w:rPr>
                <w:rFonts w:ascii="Proxima Nova" w:cs="Proxima Nova" w:eastAsia="Proxima Nova" w:hAnsi="Proxima Nova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Código de Defesa do Consumidor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é fundamental para a proteção de direitos fundamentais nas relações de consumo, inclusive naquelas intensivas em uso de sistemas de 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O consumidor tem direito a informação adequada e clara sobre produtos e serviços fornecidos no mercado, garantindo-lhes a possibilidade de compreender de forma satisfatória as razões para uma determinada decisão de negócio, seja feita por IA, ou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O consumidor tem o direito de inversão de ônus da prova e fornecedores - nacionais ou estrangeiros - respondem, independentemente da existência de culpa, pela reparação de danos causados aos consumidores por defeitos de IA ou qualquer outra tecnologia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00" w:lineRule="auto"/>
        <w:ind w:firstLine="72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Marco Civil da Internet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estabeleceu uma carta de direitos na internet, incluindo regras para os principais agentes de IA, denominados "provedores de aplicações"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O MCI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resguarda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 a soberania da jurisdição e leis brasileiras, estabelecendo que o tratamento de dados (coleta, armazenamento, uso etc.) ocorrido no Brasil deve ser feito em observância à legislação brasileira e aos direitos fundamentais das pessoas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200" w:lineRule="auto"/>
        <w:ind w:firstLine="72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Os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Códigos Civil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Penal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são aplicáveis a relações jurídicas que envolvam o uso de tecnologia, inclusive 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O Código Civil prevê regras para criação de obrigações, contratos e indenização por ato ilícito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O Código Penal tipifica os crimes no Brasil, tais como injúria, difamação ou mesmo danos corporais e crimes contra a vida, inclusive quando cometidos com o uso de tecnologias como a IA</w:t>
            </w:r>
          </w:p>
        </w:tc>
      </w:tr>
    </w:tbl>
    <w:p w:rsidR="00000000" w:rsidDel="00000000" w:rsidP="00000000" w:rsidRDefault="00000000" w:rsidRPr="00000000" w14:paraId="00000062">
      <w:pPr>
        <w:spacing w:after="200" w:lineRule="auto"/>
        <w:ind w:left="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Preocupações em torno de violações de propriedade intelectual e direito de autor estão devidamente reguladas pela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 Lei de Direitos Autorais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O uso de IA, inclusive treinamento de modelos, deve seguir disposições de direito de autor. A legislação protege obras autorais e propriedade intelectual, habilitando os agentes de IA a definirem contratualmente o justo uso e remuneração de direitos imateriais</w:t>
            </w:r>
          </w:p>
        </w:tc>
      </w:tr>
    </w:tbl>
    <w:p w:rsidR="00000000" w:rsidDel="00000000" w:rsidP="00000000" w:rsidRDefault="00000000" w:rsidRPr="00000000" w14:paraId="00000068">
      <w:pPr>
        <w:spacing w:after="200" w:lineRule="auto"/>
        <w:ind w:firstLine="72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Os órgãos do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Sistema Financeiro Nacional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têm competência e já editam normas sobre uso de modelos no mercado financeiro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Citamos, por exemplo, as Resoluções CMN e BCB 4557/17 e 265/22 que tratam sobre gestão integrada de riscos no sistema financeiro, incluindo no emprego de modelos para análise de crédito e outros aspectos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Citamos, ainda, as Res. CMN 4.893/21 e BCB 85/21 que definem requisitos sobre segurança cibernética e para a contratação de serviços em nuvem por entidades reguladas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Há, ainda, outras regulações do SFN que trazem obrigações de acurácia, performance e capacidade preditiva, bem como normas relacionadas à documentação, governança e auditabilidade de sistemas</w:t>
            </w:r>
          </w:p>
        </w:tc>
      </w:tr>
    </w:tbl>
    <w:p w:rsidR="00000000" w:rsidDel="00000000" w:rsidP="00000000" w:rsidRDefault="00000000" w:rsidRPr="00000000" w14:paraId="00000074">
      <w:pPr>
        <w:spacing w:after="200" w:lineRule="auto"/>
        <w:ind w:left="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Normas técnicas para padronização e uso seguro e confiável de IA já têm sido editadas pela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ABNT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Citamos as já publicadas NBRs 22969, 23894 e a 38507, além da 42001, em fase de consulta nacional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200" w:lineRule="auto"/>
        <w:ind w:firstLine="72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30"/>
        <w:tblGridChange w:id="0">
          <w:tblGrid>
            <w:gridCol w:w="3015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0000"/>
                <w:sz w:val="24"/>
                <w:szCs w:val="24"/>
                <w:rtl w:val="0"/>
              </w:rPr>
              <w:t xml:space="preserve">Anvisa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 já vem exercendo sua competência regulatória em matéria sanitária e de saúde para garantir qualidade de sistemas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Direitos e deveres de 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spacing w:after="200" w:line="240" w:lineRule="auto"/>
              <w:ind w:left="720" w:hanging="360"/>
              <w:jc w:val="both"/>
              <w:rPr>
                <w:rFonts w:ascii="Proxima Nova" w:cs="Proxima Nova" w:eastAsia="Proxima Nova" w:hAnsi="Proxima Nova"/>
                <w:i w:val="1"/>
                <w:color w:val="66666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666666"/>
                <w:rtl w:val="0"/>
              </w:rPr>
              <w:t xml:space="preserve">Citamos, por exemplo, a RDC 657/22 que estabelece regras para uso de softwares como dispositivo médico com requisitos de confiabilidade, capacidade preditiva, acurácia, performance e governança de dados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00" w:lineRule="auto"/>
        <w:jc w:val="both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-323849</wp:posOffset>
          </wp:positionV>
          <wp:extent cx="7660547" cy="17573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0547" cy="1757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